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DE0D" w14:textId="66DD66BF" w:rsidR="007E7141" w:rsidRPr="003331DD" w:rsidRDefault="636CBAF4" w:rsidP="6EF091FE">
      <w:pPr>
        <w:pStyle w:val="Titre1"/>
        <w:rPr>
          <w:rFonts w:ascii="Arial" w:hAnsi="Arial" w:cs="Arial"/>
          <w:color w:val="auto"/>
          <w:sz w:val="24"/>
          <w:szCs w:val="24"/>
        </w:rPr>
      </w:pPr>
      <w:r w:rsidRPr="003331DD">
        <w:rPr>
          <w:rFonts w:ascii="Arial" w:hAnsi="Arial" w:cs="Arial"/>
          <w:color w:val="auto"/>
          <w:sz w:val="24"/>
          <w:szCs w:val="24"/>
        </w:rPr>
        <w:t>Elaboré avec Copilot (05.03.2026)</w:t>
      </w:r>
    </w:p>
    <w:p w14:paraId="66B98EE0" w14:textId="082ECB6F" w:rsidR="007E7141" w:rsidRPr="003331DD" w:rsidRDefault="007E7141" w:rsidP="6EF091FE">
      <w:pPr>
        <w:pStyle w:val="Titre1"/>
        <w:rPr>
          <w:rFonts w:ascii="Arial" w:hAnsi="Arial" w:cs="Arial"/>
          <w:color w:val="auto"/>
          <w:sz w:val="24"/>
          <w:szCs w:val="24"/>
        </w:rPr>
      </w:pPr>
    </w:p>
    <w:p w14:paraId="672A6659" w14:textId="34F035C2" w:rsidR="007E7141" w:rsidRPr="003331DD" w:rsidRDefault="003331DD" w:rsidP="003331DD">
      <w:pPr>
        <w:pStyle w:val="Titre1"/>
        <w:jc w:val="center"/>
        <w:rPr>
          <w:rFonts w:ascii="Arial" w:hAnsi="Arial" w:cs="Arial"/>
          <w:b/>
          <w:bCs/>
          <w:color w:val="auto"/>
          <w:sz w:val="28"/>
          <w:szCs w:val="28"/>
        </w:rPr>
      </w:pPr>
      <w:r w:rsidRPr="003331DD">
        <w:rPr>
          <w:rFonts w:ascii="Arial" w:hAnsi="Arial" w:cs="Arial"/>
          <w:b/>
          <w:bCs/>
          <w:color w:val="auto"/>
          <w:sz w:val="28"/>
          <w:szCs w:val="28"/>
        </w:rPr>
        <w:t>Évaluation</w:t>
      </w:r>
      <w:r w:rsidR="6EF091FE" w:rsidRPr="003331DD">
        <w:rPr>
          <w:rFonts w:ascii="Arial" w:hAnsi="Arial" w:cs="Arial"/>
          <w:b/>
          <w:bCs/>
          <w:color w:val="auto"/>
          <w:sz w:val="28"/>
          <w:szCs w:val="28"/>
        </w:rPr>
        <w:t xml:space="preserve"> d'une résolution de cas en droit</w:t>
      </w:r>
    </w:p>
    <w:p w14:paraId="794A84D7" w14:textId="77777777" w:rsidR="003331DD" w:rsidRPr="003331DD" w:rsidRDefault="003331DD">
      <w:pPr>
        <w:rPr>
          <w:rFonts w:ascii="Arial" w:hAnsi="Arial" w:cs="Arial"/>
          <w:sz w:val="18"/>
          <w:szCs w:val="18"/>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7"/>
        <w:gridCol w:w="3003"/>
        <w:gridCol w:w="2565"/>
        <w:gridCol w:w="2566"/>
        <w:gridCol w:w="2566"/>
        <w:gridCol w:w="2566"/>
      </w:tblGrid>
      <w:tr w:rsidR="007E7141" w:rsidRPr="003331DD" w14:paraId="47A7B55D" w14:textId="77777777" w:rsidTr="003331DD">
        <w:trPr>
          <w:tblHeader/>
        </w:trPr>
        <w:tc>
          <w:tcPr>
            <w:tcW w:w="2127" w:type="dxa"/>
            <w:tcBorders>
              <w:top w:val="nil"/>
              <w:left w:val="nil"/>
              <w:bottom w:val="single" w:sz="1" w:space="0" w:color="D1D1D1"/>
              <w:right w:val="nil"/>
            </w:tcBorders>
          </w:tcPr>
          <w:p w14:paraId="0A37501D" w14:textId="77777777" w:rsidR="007E7141" w:rsidRPr="003331DD" w:rsidRDefault="007E7141">
            <w:pPr>
              <w:rPr>
                <w:rFonts w:ascii="Arial" w:hAnsi="Arial" w:cs="Arial"/>
              </w:rPr>
            </w:pPr>
          </w:p>
        </w:tc>
        <w:tc>
          <w:tcPr>
            <w:tcW w:w="3003" w:type="dxa"/>
            <w:tcBorders>
              <w:top w:val="nil"/>
              <w:left w:val="nil"/>
              <w:bottom w:val="nil"/>
              <w:right w:val="nil"/>
            </w:tcBorders>
          </w:tcPr>
          <w:p w14:paraId="676869D7" w14:textId="77777777" w:rsidR="007E7141" w:rsidRPr="003331DD" w:rsidRDefault="00000000">
            <w:pPr>
              <w:rPr>
                <w:rFonts w:ascii="Arial" w:hAnsi="Arial" w:cs="Arial"/>
              </w:rPr>
            </w:pPr>
            <w:r w:rsidRPr="003331DD">
              <w:rPr>
                <w:rFonts w:ascii="Arial" w:hAnsi="Arial" w:cs="Arial"/>
                <w:b/>
                <w:bCs/>
              </w:rPr>
              <w:t>Excellent</w:t>
            </w:r>
          </w:p>
        </w:tc>
        <w:tc>
          <w:tcPr>
            <w:tcW w:w="2565" w:type="dxa"/>
            <w:tcBorders>
              <w:top w:val="nil"/>
              <w:left w:val="nil"/>
              <w:bottom w:val="nil"/>
              <w:right w:val="nil"/>
            </w:tcBorders>
          </w:tcPr>
          <w:p w14:paraId="04947FD1" w14:textId="77777777" w:rsidR="007E7141" w:rsidRPr="003331DD" w:rsidRDefault="00000000">
            <w:pPr>
              <w:rPr>
                <w:rFonts w:ascii="Arial" w:hAnsi="Arial" w:cs="Arial"/>
              </w:rPr>
            </w:pPr>
            <w:r w:rsidRPr="003331DD">
              <w:rPr>
                <w:rFonts w:ascii="Arial" w:hAnsi="Arial" w:cs="Arial"/>
                <w:b/>
                <w:bCs/>
              </w:rPr>
              <w:t>Bon</w:t>
            </w:r>
          </w:p>
        </w:tc>
        <w:tc>
          <w:tcPr>
            <w:tcW w:w="2566" w:type="dxa"/>
            <w:tcBorders>
              <w:top w:val="nil"/>
              <w:left w:val="nil"/>
              <w:bottom w:val="nil"/>
              <w:right w:val="nil"/>
            </w:tcBorders>
          </w:tcPr>
          <w:p w14:paraId="3A99D95D" w14:textId="77777777" w:rsidR="007E7141" w:rsidRPr="003331DD" w:rsidRDefault="6EF091FE" w:rsidP="6EF091FE">
            <w:pPr>
              <w:rPr>
                <w:rFonts w:ascii="Arial" w:hAnsi="Arial" w:cs="Arial"/>
                <w:b/>
                <w:bCs/>
              </w:rPr>
            </w:pPr>
            <w:r w:rsidRPr="003331DD">
              <w:rPr>
                <w:rFonts w:ascii="Arial" w:hAnsi="Arial" w:cs="Arial"/>
                <w:b/>
                <w:bCs/>
              </w:rPr>
              <w:t>Suffisant</w:t>
            </w:r>
          </w:p>
        </w:tc>
        <w:tc>
          <w:tcPr>
            <w:tcW w:w="2566" w:type="dxa"/>
            <w:tcBorders>
              <w:top w:val="nil"/>
              <w:left w:val="nil"/>
              <w:bottom w:val="nil"/>
              <w:right w:val="nil"/>
            </w:tcBorders>
          </w:tcPr>
          <w:p w14:paraId="1D1ADC81" w14:textId="77777777" w:rsidR="007E7141" w:rsidRPr="003331DD" w:rsidRDefault="6EF091FE" w:rsidP="6EF091FE">
            <w:pPr>
              <w:rPr>
                <w:rFonts w:ascii="Arial" w:hAnsi="Arial" w:cs="Arial"/>
                <w:b/>
                <w:bCs/>
              </w:rPr>
            </w:pPr>
            <w:r w:rsidRPr="003331DD">
              <w:rPr>
                <w:rFonts w:ascii="Arial" w:hAnsi="Arial" w:cs="Arial"/>
                <w:b/>
                <w:bCs/>
              </w:rPr>
              <w:t>Insuffisant</w:t>
            </w:r>
          </w:p>
        </w:tc>
        <w:tc>
          <w:tcPr>
            <w:tcW w:w="2566" w:type="dxa"/>
            <w:tcBorders>
              <w:top w:val="nil"/>
              <w:left w:val="nil"/>
              <w:bottom w:val="nil"/>
              <w:right w:val="nil"/>
            </w:tcBorders>
          </w:tcPr>
          <w:p w14:paraId="00155997" w14:textId="77777777" w:rsidR="007E7141" w:rsidRPr="003331DD" w:rsidRDefault="6EF091FE" w:rsidP="6EF091FE">
            <w:pPr>
              <w:rPr>
                <w:rFonts w:ascii="Arial" w:hAnsi="Arial" w:cs="Arial"/>
                <w:b/>
                <w:bCs/>
              </w:rPr>
            </w:pPr>
            <w:r w:rsidRPr="003331DD">
              <w:rPr>
                <w:rFonts w:ascii="Arial" w:hAnsi="Arial" w:cs="Arial"/>
                <w:b/>
                <w:bCs/>
              </w:rPr>
              <w:t>Très insuffisant</w:t>
            </w:r>
          </w:p>
        </w:tc>
      </w:tr>
      <w:tr w:rsidR="007E7141" w:rsidRPr="003331DD" w14:paraId="0334642E" w14:textId="77777777" w:rsidTr="003331DD">
        <w:tc>
          <w:tcPr>
            <w:tcW w:w="2127" w:type="dxa"/>
            <w:tcBorders>
              <w:top w:val="nil"/>
              <w:left w:val="nil"/>
              <w:bottom w:val="nil"/>
              <w:right w:val="nil"/>
            </w:tcBorders>
            <w:tcMar>
              <w:top w:w="80" w:type="dxa"/>
              <w:left w:w="120" w:type="dxa"/>
              <w:bottom w:w="80" w:type="dxa"/>
              <w:right w:w="120" w:type="dxa"/>
            </w:tcMar>
          </w:tcPr>
          <w:p w14:paraId="51AC02D4" w14:textId="77777777" w:rsidR="007E7141" w:rsidRPr="003331DD" w:rsidRDefault="6EF091FE" w:rsidP="6EF091FE">
            <w:pPr>
              <w:jc w:val="right"/>
              <w:rPr>
                <w:rFonts w:ascii="Arial" w:hAnsi="Arial" w:cs="Arial"/>
                <w:b/>
                <w:bCs/>
                <w:i/>
                <w:iCs/>
              </w:rPr>
            </w:pPr>
            <w:r w:rsidRPr="003331DD">
              <w:rPr>
                <w:rFonts w:ascii="Arial" w:hAnsi="Arial" w:cs="Arial"/>
                <w:b/>
                <w:bCs/>
                <w:i/>
                <w:iCs/>
              </w:rPr>
              <w:t>Structure de la résolution</w:t>
            </w:r>
          </w:p>
        </w:tc>
        <w:tc>
          <w:tcPr>
            <w:tcW w:w="3003"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1BFC7028" w14:textId="77777777" w:rsidR="007E7141" w:rsidRPr="003331DD" w:rsidRDefault="6EF091FE">
            <w:pPr>
              <w:rPr>
                <w:rFonts w:ascii="Arial" w:hAnsi="Arial" w:cs="Arial"/>
              </w:rPr>
            </w:pPr>
            <w:r w:rsidRPr="003331DD">
              <w:rPr>
                <w:rFonts w:ascii="Arial" w:hAnsi="Arial" w:cs="Arial"/>
              </w:rPr>
              <w:t>La résolution est organisée de façon logique, chaque partie est clairement identifiée et le vocabulaire juridique est utilisé de manière appropriée. L'ensemble du texte est facile à suivre et démontre une maîtrise de la structure attendue.</w:t>
            </w:r>
          </w:p>
        </w:tc>
        <w:tc>
          <w:tcPr>
            <w:tcW w:w="2565"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02B9F144" w14:textId="77777777" w:rsidR="007E7141" w:rsidRPr="003331DD" w:rsidRDefault="6EF091FE">
            <w:pPr>
              <w:rPr>
                <w:rFonts w:ascii="Arial" w:hAnsi="Arial" w:cs="Arial"/>
              </w:rPr>
            </w:pPr>
            <w:r w:rsidRPr="003331DD">
              <w:rPr>
                <w:rFonts w:ascii="Arial" w:hAnsi="Arial" w:cs="Arial"/>
              </w:rPr>
              <w:t>La résolution présente une organisation généralement claire avec des parties distinctes et le vocabulaire juridique est utilisé correctement dans la plupart des cas. La progression des idées est cohérente et structurée.</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31671149" w14:textId="77777777" w:rsidR="007E7141" w:rsidRPr="003331DD" w:rsidRDefault="6EF091FE">
            <w:pPr>
              <w:rPr>
                <w:rFonts w:ascii="Arial" w:hAnsi="Arial" w:cs="Arial"/>
              </w:rPr>
            </w:pPr>
            <w:r w:rsidRPr="003331DD">
              <w:rPr>
                <w:rFonts w:ascii="Arial" w:hAnsi="Arial" w:cs="Arial"/>
              </w:rPr>
              <w:t>La structure de la résolution est compréhensible mais manque parfois de clarté et le vocabulaire juridique est utilisé de façon partielle. Quelques parties sont difficiles à distinguer ou à suivre.</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53CEB2F6" w14:textId="77777777" w:rsidR="007E7141" w:rsidRPr="003331DD" w:rsidRDefault="6EF091FE">
            <w:pPr>
              <w:rPr>
                <w:rFonts w:ascii="Arial" w:hAnsi="Arial" w:cs="Arial"/>
              </w:rPr>
            </w:pPr>
            <w:r w:rsidRPr="003331DD">
              <w:rPr>
                <w:rFonts w:ascii="Arial" w:hAnsi="Arial" w:cs="Arial"/>
              </w:rPr>
              <w:t>La résolution est désorganisée, les parties ne sont pas bien séparées et le vocabulaire juridique est rarement employé. L'ensemble manque de logique et de clarté.</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60058D14" w14:textId="77777777" w:rsidR="007E7141" w:rsidRPr="003331DD" w:rsidRDefault="6EF091FE">
            <w:pPr>
              <w:rPr>
                <w:rFonts w:ascii="Arial" w:hAnsi="Arial" w:cs="Arial"/>
              </w:rPr>
            </w:pPr>
            <w:r w:rsidRPr="003331DD">
              <w:rPr>
                <w:rFonts w:ascii="Arial" w:hAnsi="Arial" w:cs="Arial"/>
              </w:rPr>
              <w:t>La résolution ne présente aucune organisation, les idées sont mélangées et le vocabulaire juridique est absent. Le texte est difficile à comprendre et ne respecte pas les attentes de la consigne.</w:t>
            </w:r>
          </w:p>
        </w:tc>
      </w:tr>
      <w:tr w:rsidR="007E7141" w:rsidRPr="003331DD" w14:paraId="2AE846D3" w14:textId="77777777" w:rsidTr="003331DD">
        <w:tc>
          <w:tcPr>
            <w:tcW w:w="2127" w:type="dxa"/>
            <w:tcBorders>
              <w:top w:val="nil"/>
              <w:left w:val="nil"/>
              <w:bottom w:val="nil"/>
              <w:right w:val="nil"/>
            </w:tcBorders>
            <w:tcMar>
              <w:top w:w="80" w:type="dxa"/>
              <w:left w:w="120" w:type="dxa"/>
              <w:bottom w:w="80" w:type="dxa"/>
              <w:right w:w="120" w:type="dxa"/>
            </w:tcMar>
          </w:tcPr>
          <w:p w14:paraId="09D81184" w14:textId="77777777" w:rsidR="007E7141" w:rsidRPr="003331DD" w:rsidRDefault="6EF091FE">
            <w:pPr>
              <w:jc w:val="right"/>
              <w:rPr>
                <w:rFonts w:ascii="Arial" w:hAnsi="Arial" w:cs="Arial"/>
              </w:rPr>
            </w:pPr>
            <w:r w:rsidRPr="003331DD">
              <w:rPr>
                <w:rFonts w:ascii="Arial" w:hAnsi="Arial" w:cs="Arial"/>
                <w:b/>
                <w:bCs/>
                <w:i/>
                <w:iCs/>
              </w:rPr>
              <w:t>Cohérence des arguments</w:t>
            </w:r>
          </w:p>
        </w:tc>
        <w:tc>
          <w:tcPr>
            <w:tcW w:w="3003"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2079E708" w14:textId="77777777" w:rsidR="007E7141" w:rsidRPr="003331DD" w:rsidRDefault="6EF091FE">
            <w:pPr>
              <w:rPr>
                <w:rFonts w:ascii="Arial" w:hAnsi="Arial" w:cs="Arial"/>
              </w:rPr>
            </w:pPr>
            <w:r w:rsidRPr="003331DD">
              <w:rPr>
                <w:rFonts w:ascii="Arial" w:hAnsi="Arial" w:cs="Arial"/>
              </w:rPr>
              <w:t>Les arguments sont développés de façon cohérente, soutenus par des exemples pertinents et le vocabulaire juridique est utilisé avec précision. Chaque idée est clairement reliée au contexte juridique du cas.</w:t>
            </w:r>
          </w:p>
        </w:tc>
        <w:tc>
          <w:tcPr>
            <w:tcW w:w="2565"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4EE550AF" w14:textId="77777777" w:rsidR="007E7141" w:rsidRPr="003331DD" w:rsidRDefault="6EF091FE">
            <w:pPr>
              <w:rPr>
                <w:rFonts w:ascii="Arial" w:hAnsi="Arial" w:cs="Arial"/>
              </w:rPr>
            </w:pPr>
            <w:r w:rsidRPr="003331DD">
              <w:rPr>
                <w:rFonts w:ascii="Arial" w:hAnsi="Arial" w:cs="Arial"/>
              </w:rPr>
              <w:t>Les arguments sont généralement cohérents, appuyés par des exemples et le vocabulaire juridique est utilisé correctement. Les liens entre les idées sont clairs et pertinents.</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401D6C35" w14:textId="77777777" w:rsidR="007E7141" w:rsidRPr="003331DD" w:rsidRDefault="6EF091FE">
            <w:pPr>
              <w:rPr>
                <w:rFonts w:ascii="Arial" w:hAnsi="Arial" w:cs="Arial"/>
              </w:rPr>
            </w:pPr>
            <w:r w:rsidRPr="003331DD">
              <w:rPr>
                <w:rFonts w:ascii="Arial" w:hAnsi="Arial" w:cs="Arial"/>
              </w:rPr>
              <w:t>Les arguments sont parfois cohérents mais manquent de développement et le vocabulaire juridique est utilisé de façon limitée. Certains exemples sont présents mais peu détaillés.</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366AC3CF" w14:textId="77777777" w:rsidR="007E7141" w:rsidRPr="003331DD" w:rsidRDefault="6EF091FE">
            <w:pPr>
              <w:rPr>
                <w:rFonts w:ascii="Arial" w:hAnsi="Arial" w:cs="Arial"/>
              </w:rPr>
            </w:pPr>
            <w:r w:rsidRPr="003331DD">
              <w:rPr>
                <w:rFonts w:ascii="Arial" w:hAnsi="Arial" w:cs="Arial"/>
              </w:rPr>
              <w:t>Les arguments sont peu cohérents, rarement illustrés par des exemples et le vocabulaire juridique est peu utilisé. Les idées sont difficiles à relier au contexte juridique.</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134041F4" w14:textId="77777777" w:rsidR="007E7141" w:rsidRPr="003331DD" w:rsidRDefault="6EF091FE">
            <w:pPr>
              <w:rPr>
                <w:rFonts w:ascii="Arial" w:hAnsi="Arial" w:cs="Arial"/>
              </w:rPr>
            </w:pPr>
            <w:r w:rsidRPr="003331DD">
              <w:rPr>
                <w:rFonts w:ascii="Arial" w:hAnsi="Arial" w:cs="Arial"/>
              </w:rPr>
              <w:t>Les arguments sont incohérents, ne sont pas justifiés et le vocabulaire juridique est absent. Le raisonnement n'est pas adapté au cas présenté.</w:t>
            </w:r>
          </w:p>
        </w:tc>
      </w:tr>
      <w:tr w:rsidR="007E7141" w:rsidRPr="003331DD" w14:paraId="29921F18" w14:textId="77777777" w:rsidTr="003331DD">
        <w:tc>
          <w:tcPr>
            <w:tcW w:w="2127" w:type="dxa"/>
            <w:tcBorders>
              <w:top w:val="nil"/>
              <w:left w:val="nil"/>
              <w:bottom w:val="nil"/>
              <w:right w:val="nil"/>
            </w:tcBorders>
            <w:tcMar>
              <w:top w:w="80" w:type="dxa"/>
              <w:left w:w="120" w:type="dxa"/>
              <w:bottom w:w="80" w:type="dxa"/>
              <w:right w:w="120" w:type="dxa"/>
            </w:tcMar>
          </w:tcPr>
          <w:p w14:paraId="60B5CD45" w14:textId="77777777" w:rsidR="007E7141" w:rsidRPr="003331DD" w:rsidRDefault="6EF091FE" w:rsidP="6EF091FE">
            <w:pPr>
              <w:jc w:val="right"/>
              <w:rPr>
                <w:rFonts w:ascii="Arial" w:hAnsi="Arial" w:cs="Arial"/>
                <w:b/>
                <w:bCs/>
                <w:i/>
                <w:iCs/>
              </w:rPr>
            </w:pPr>
            <w:r w:rsidRPr="003331DD">
              <w:rPr>
                <w:rFonts w:ascii="Arial" w:hAnsi="Arial" w:cs="Arial"/>
                <w:b/>
                <w:bCs/>
                <w:i/>
                <w:iCs/>
              </w:rPr>
              <w:t>Exactitude des éléments juridiques</w:t>
            </w:r>
          </w:p>
        </w:tc>
        <w:tc>
          <w:tcPr>
            <w:tcW w:w="3003"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0984962A" w14:textId="77777777" w:rsidR="007E7141" w:rsidRPr="003331DD" w:rsidRDefault="6EF091FE">
            <w:pPr>
              <w:rPr>
                <w:rFonts w:ascii="Arial" w:hAnsi="Arial" w:cs="Arial"/>
              </w:rPr>
            </w:pPr>
            <w:r w:rsidRPr="003331DD">
              <w:rPr>
                <w:rFonts w:ascii="Arial" w:hAnsi="Arial" w:cs="Arial"/>
              </w:rPr>
              <w:t>Les éléments juridiques sont exacts, utilisés de manière appropriée et le vocabulaire juridique est précis. La résolution montre une compréhension approfondie des concepts de droit.</w:t>
            </w:r>
          </w:p>
        </w:tc>
        <w:tc>
          <w:tcPr>
            <w:tcW w:w="2565"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08FF7190" w14:textId="77777777" w:rsidR="007E7141" w:rsidRPr="003331DD" w:rsidRDefault="6EF091FE">
            <w:pPr>
              <w:rPr>
                <w:rFonts w:ascii="Arial" w:hAnsi="Arial" w:cs="Arial"/>
              </w:rPr>
            </w:pPr>
            <w:r w:rsidRPr="003331DD">
              <w:rPr>
                <w:rFonts w:ascii="Arial" w:hAnsi="Arial" w:cs="Arial"/>
              </w:rPr>
              <w:t>Les éléments juridiques sont généralement corrects, bien intégrés et le vocabulaire juridique est utilisé de façon adéquate. Quelques erreurs mineures peuvent apparaître mais n'affectent pas la compréhension globale.</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09499BF3" w14:textId="77777777" w:rsidR="007E7141" w:rsidRPr="003331DD" w:rsidRDefault="6EF091FE">
            <w:pPr>
              <w:rPr>
                <w:rFonts w:ascii="Arial" w:hAnsi="Arial" w:cs="Arial"/>
              </w:rPr>
            </w:pPr>
            <w:r w:rsidRPr="003331DD">
              <w:rPr>
                <w:rFonts w:ascii="Arial" w:hAnsi="Arial" w:cs="Arial"/>
              </w:rPr>
              <w:t>Les éléments juridiques sont parfois corrects mais comportent quelques erreurs et le vocabulaire juridique est utilisé de façon partielle. La compréhension des notions de droit reste superficielle.</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79091767" w14:textId="77777777" w:rsidR="007E7141" w:rsidRPr="003331DD" w:rsidRDefault="6EF091FE">
            <w:pPr>
              <w:rPr>
                <w:rFonts w:ascii="Arial" w:hAnsi="Arial" w:cs="Arial"/>
              </w:rPr>
            </w:pPr>
            <w:r w:rsidRPr="003331DD">
              <w:rPr>
                <w:rFonts w:ascii="Arial" w:hAnsi="Arial" w:cs="Arial"/>
              </w:rPr>
              <w:t>Les éléments juridiques sont souvent incorrects ou mal utilisés et le vocabulaire juridique est peu présent. La résolution ne respecte pas les principes fondamentaux du droit.</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79DAC053" w14:textId="77777777" w:rsidR="007E7141" w:rsidRPr="003331DD" w:rsidRDefault="6EF091FE">
            <w:pPr>
              <w:rPr>
                <w:rFonts w:ascii="Arial" w:hAnsi="Arial" w:cs="Arial"/>
              </w:rPr>
            </w:pPr>
            <w:r w:rsidRPr="003331DD">
              <w:rPr>
                <w:rFonts w:ascii="Arial" w:hAnsi="Arial" w:cs="Arial"/>
              </w:rPr>
              <w:t>Les éléments juridiques sont absents ou totalement erronés et le vocabulaire juridique n'est pas utilisé. Le texte ne montre aucune connaissance des notions juridiques.</w:t>
            </w:r>
          </w:p>
        </w:tc>
      </w:tr>
      <w:tr w:rsidR="007E7141" w:rsidRPr="003331DD" w14:paraId="1834010F" w14:textId="77777777" w:rsidTr="003331DD">
        <w:tc>
          <w:tcPr>
            <w:tcW w:w="2127" w:type="dxa"/>
            <w:tcBorders>
              <w:top w:val="nil"/>
              <w:left w:val="nil"/>
              <w:bottom w:val="nil"/>
              <w:right w:val="nil"/>
            </w:tcBorders>
            <w:tcMar>
              <w:top w:w="80" w:type="dxa"/>
              <w:left w:w="120" w:type="dxa"/>
              <w:bottom w:w="80" w:type="dxa"/>
              <w:right w:w="120" w:type="dxa"/>
            </w:tcMar>
          </w:tcPr>
          <w:p w14:paraId="397B7FB4" w14:textId="77777777" w:rsidR="007E7141" w:rsidRPr="003331DD" w:rsidRDefault="6EF091FE" w:rsidP="6EF091FE">
            <w:pPr>
              <w:jc w:val="right"/>
              <w:rPr>
                <w:rFonts w:ascii="Arial" w:hAnsi="Arial" w:cs="Arial"/>
                <w:b/>
                <w:bCs/>
                <w:i/>
                <w:iCs/>
              </w:rPr>
            </w:pPr>
            <w:r w:rsidRPr="003331DD">
              <w:rPr>
                <w:rFonts w:ascii="Arial" w:hAnsi="Arial" w:cs="Arial"/>
                <w:b/>
                <w:bCs/>
                <w:i/>
                <w:iCs/>
              </w:rPr>
              <w:t>Clarté des éléments de réponse</w:t>
            </w:r>
          </w:p>
        </w:tc>
        <w:tc>
          <w:tcPr>
            <w:tcW w:w="3003"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14F331ED" w14:textId="77777777" w:rsidR="007E7141" w:rsidRPr="003331DD" w:rsidRDefault="6EF091FE">
            <w:pPr>
              <w:rPr>
                <w:rFonts w:ascii="Arial" w:hAnsi="Arial" w:cs="Arial"/>
              </w:rPr>
            </w:pPr>
            <w:r w:rsidRPr="003331DD">
              <w:rPr>
                <w:rFonts w:ascii="Arial" w:hAnsi="Arial" w:cs="Arial"/>
              </w:rPr>
              <w:t>Les réponses sont formulées de manière claire et précise, le vocabulaire juridique est utilisé correctement, ce qui facilite la compréhension du raisonnement. Les explications sont structurées et adaptées au niveau attendu.</w:t>
            </w:r>
          </w:p>
        </w:tc>
        <w:tc>
          <w:tcPr>
            <w:tcW w:w="2565"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2C5F3D62" w14:textId="77777777" w:rsidR="007E7141" w:rsidRPr="003331DD" w:rsidRDefault="6EF091FE">
            <w:pPr>
              <w:rPr>
                <w:rFonts w:ascii="Arial" w:hAnsi="Arial" w:cs="Arial"/>
              </w:rPr>
            </w:pPr>
            <w:r w:rsidRPr="003331DD">
              <w:rPr>
                <w:rFonts w:ascii="Arial" w:hAnsi="Arial" w:cs="Arial"/>
              </w:rPr>
              <w:t>Les réponses sont généralement claires et compréhensibles, le vocabulaire juridique est employé de façon appropriée. Les idées sont bien exprimées et accessibles.</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21CA5567" w14:textId="77777777" w:rsidR="007E7141" w:rsidRPr="003331DD" w:rsidRDefault="6EF091FE">
            <w:pPr>
              <w:rPr>
                <w:rFonts w:ascii="Arial" w:hAnsi="Arial" w:cs="Arial"/>
              </w:rPr>
            </w:pPr>
            <w:r w:rsidRPr="003331DD">
              <w:rPr>
                <w:rFonts w:ascii="Arial" w:hAnsi="Arial" w:cs="Arial"/>
              </w:rPr>
              <w:t>Les réponses sont parfois claires mais peuvent prêter à confusion et le vocabulaire juridique est utilisé de façon limitée. Quelques explications manquent de précision.</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39AF34D3" w14:textId="77777777" w:rsidR="007E7141" w:rsidRPr="003331DD" w:rsidRDefault="6EF091FE">
            <w:pPr>
              <w:rPr>
                <w:rFonts w:ascii="Arial" w:hAnsi="Arial" w:cs="Arial"/>
              </w:rPr>
            </w:pPr>
            <w:r w:rsidRPr="003331DD">
              <w:rPr>
                <w:rFonts w:ascii="Arial" w:hAnsi="Arial" w:cs="Arial"/>
              </w:rPr>
              <w:t>Les réponses manquent de clarté, sont difficiles à comprendre et le vocabulaire juridique est rarement utilisé. Le raisonnement est peu accessible pour le lecteur.</w:t>
            </w:r>
          </w:p>
        </w:tc>
        <w:tc>
          <w:tcPr>
            <w:tcW w:w="2566" w:type="dxa"/>
            <w:tcBorders>
              <w:top w:val="single" w:sz="1" w:space="0" w:color="D1D1D1"/>
              <w:left w:val="single" w:sz="1" w:space="0" w:color="D1D1D1"/>
              <w:bottom w:val="single" w:sz="1" w:space="0" w:color="D1D1D1"/>
              <w:right w:val="single" w:sz="1" w:space="0" w:color="D1D1D1"/>
            </w:tcBorders>
            <w:tcMar>
              <w:top w:w="80" w:type="dxa"/>
              <w:left w:w="120" w:type="dxa"/>
              <w:bottom w:w="80" w:type="dxa"/>
              <w:right w:w="120" w:type="dxa"/>
            </w:tcMar>
          </w:tcPr>
          <w:p w14:paraId="55A1CCEB" w14:textId="77777777" w:rsidR="007E7141" w:rsidRPr="003331DD" w:rsidRDefault="6EF091FE">
            <w:pPr>
              <w:rPr>
                <w:rFonts w:ascii="Arial" w:hAnsi="Arial" w:cs="Arial"/>
              </w:rPr>
            </w:pPr>
            <w:r w:rsidRPr="003331DD">
              <w:rPr>
                <w:rFonts w:ascii="Arial" w:hAnsi="Arial" w:cs="Arial"/>
              </w:rPr>
              <w:t>Les réponses sont très confuses ou incompréhensibles et le vocabulaire juridique est absent. Le texte ne permet pas de suivre le raisonnement proposé.</w:t>
            </w:r>
          </w:p>
        </w:tc>
      </w:tr>
    </w:tbl>
    <w:p w14:paraId="649C3BAA" w14:textId="77777777" w:rsidR="00694EC4" w:rsidRPr="003331DD" w:rsidRDefault="00694EC4">
      <w:pPr>
        <w:rPr>
          <w:rFonts w:ascii="Arial" w:hAnsi="Arial" w:cs="Arial"/>
          <w:sz w:val="18"/>
          <w:szCs w:val="18"/>
        </w:rPr>
      </w:pPr>
    </w:p>
    <w:sectPr w:rsidR="00694EC4" w:rsidRPr="003331DD">
      <w:pgSz w:w="16833" w:h="11908"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FAC9B"/>
    <w:multiLevelType w:val="hybridMultilevel"/>
    <w:tmpl w:val="DAC0A4D2"/>
    <w:lvl w:ilvl="0" w:tplc="998861EA">
      <w:start w:val="1"/>
      <w:numFmt w:val="bullet"/>
      <w:lvlText w:val="●"/>
      <w:lvlJc w:val="left"/>
      <w:pPr>
        <w:ind w:left="720" w:hanging="360"/>
      </w:pPr>
    </w:lvl>
    <w:lvl w:ilvl="1" w:tplc="B6B6F5EE">
      <w:start w:val="1"/>
      <w:numFmt w:val="bullet"/>
      <w:lvlText w:val="○"/>
      <w:lvlJc w:val="left"/>
      <w:pPr>
        <w:ind w:left="1440" w:hanging="360"/>
      </w:pPr>
    </w:lvl>
    <w:lvl w:ilvl="2" w:tplc="306E5BF4">
      <w:start w:val="1"/>
      <w:numFmt w:val="bullet"/>
      <w:lvlText w:val="■"/>
      <w:lvlJc w:val="left"/>
      <w:pPr>
        <w:ind w:left="2160" w:hanging="360"/>
      </w:pPr>
    </w:lvl>
    <w:lvl w:ilvl="3" w:tplc="19E0FF5E">
      <w:start w:val="1"/>
      <w:numFmt w:val="bullet"/>
      <w:lvlText w:val="●"/>
      <w:lvlJc w:val="left"/>
      <w:pPr>
        <w:ind w:left="2880" w:hanging="360"/>
      </w:pPr>
    </w:lvl>
    <w:lvl w:ilvl="4" w:tplc="3FA273DC">
      <w:start w:val="1"/>
      <w:numFmt w:val="bullet"/>
      <w:lvlText w:val="○"/>
      <w:lvlJc w:val="left"/>
      <w:pPr>
        <w:ind w:left="3600" w:hanging="360"/>
      </w:pPr>
    </w:lvl>
    <w:lvl w:ilvl="5" w:tplc="306AD0C6">
      <w:start w:val="1"/>
      <w:numFmt w:val="bullet"/>
      <w:lvlText w:val="■"/>
      <w:lvlJc w:val="left"/>
      <w:pPr>
        <w:ind w:left="4320" w:hanging="360"/>
      </w:pPr>
    </w:lvl>
    <w:lvl w:ilvl="6" w:tplc="C6449D9E">
      <w:start w:val="1"/>
      <w:numFmt w:val="bullet"/>
      <w:lvlText w:val="●"/>
      <w:lvlJc w:val="left"/>
      <w:pPr>
        <w:ind w:left="5040" w:hanging="360"/>
      </w:pPr>
    </w:lvl>
    <w:lvl w:ilvl="7" w:tplc="4622D502">
      <w:start w:val="1"/>
      <w:numFmt w:val="bullet"/>
      <w:lvlText w:val="●"/>
      <w:lvlJc w:val="left"/>
      <w:pPr>
        <w:ind w:left="5760" w:hanging="360"/>
      </w:pPr>
    </w:lvl>
    <w:lvl w:ilvl="8" w:tplc="4AB6BDBC">
      <w:start w:val="1"/>
      <w:numFmt w:val="bullet"/>
      <w:lvlText w:val="●"/>
      <w:lvlJc w:val="left"/>
      <w:pPr>
        <w:ind w:left="6480" w:hanging="360"/>
      </w:pPr>
    </w:lvl>
  </w:abstractNum>
  <w:num w:numId="1" w16cid:durableId="2078359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6CBAF4"/>
    <w:rsid w:val="003331DD"/>
    <w:rsid w:val="00694EC4"/>
    <w:rsid w:val="00757058"/>
    <w:rsid w:val="007E7141"/>
    <w:rsid w:val="00997AD8"/>
    <w:rsid w:val="00D65FEA"/>
    <w:rsid w:val="636CBAF4"/>
    <w:rsid w:val="6EF091F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47E2CFB4"/>
  <w15:docId w15:val="{DEC8A796-770A-4CB8-9E56-BAEEADB7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568</Words>
  <Characters>3387</Characters>
  <Application>Microsoft Office Word</Application>
  <DocSecurity>0</DocSecurity>
  <Lines>179</Lines>
  <Paragraphs>31</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Guillaume Roduit</cp:lastModifiedBy>
  <cp:revision>5</cp:revision>
  <cp:lastPrinted>2026-03-05T21:50:00Z</cp:lastPrinted>
  <dcterms:created xsi:type="dcterms:W3CDTF">2026-03-05T20:44:00Z</dcterms:created>
  <dcterms:modified xsi:type="dcterms:W3CDTF">2026-03-05T21:50:00Z</dcterms:modified>
</cp:coreProperties>
</file>